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7DD2" w14:textId="105B089F" w:rsidR="00054CDC" w:rsidRDefault="00424F86">
      <w:r>
        <w:rPr>
          <w:noProof/>
        </w:rPr>
        <w:drawing>
          <wp:inline distT="0" distB="0" distL="0" distR="0" wp14:anchorId="440B8DB1" wp14:editId="39BBC364">
            <wp:extent cx="3057525" cy="645478"/>
            <wp:effectExtent l="0" t="0" r="0" b="2540"/>
            <wp:docPr id="3" name="Picture 3" descr="Disability Rights South Dak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sability Rights South Dakota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5367" cy="653467"/>
                    </a:xfrm>
                    <a:prstGeom prst="rect">
                      <a:avLst/>
                    </a:prstGeom>
                  </pic:spPr>
                </pic:pic>
              </a:graphicData>
            </a:graphic>
          </wp:inline>
        </w:drawing>
      </w:r>
    </w:p>
    <w:p w14:paraId="0F668306" w14:textId="77777777" w:rsidR="00277D0C" w:rsidRDefault="00277D0C" w:rsidP="00277D0C">
      <w:pPr>
        <w:spacing w:after="0"/>
      </w:pPr>
    </w:p>
    <w:p w14:paraId="2051C50D" w14:textId="6A8508DA" w:rsidR="00046051" w:rsidRPr="00046051" w:rsidRDefault="00146C53" w:rsidP="00046051">
      <w:pPr>
        <w:pStyle w:val="Heading1"/>
        <w:rPr>
          <w:b/>
          <w:bCs/>
        </w:rPr>
      </w:pPr>
      <w:r>
        <w:rPr>
          <w:b/>
          <w:bCs/>
        </w:rPr>
        <w:t>Due Process Procedure: Involuntary Commitment</w:t>
      </w:r>
    </w:p>
    <w:p w14:paraId="149DDFE4" w14:textId="0CB178F4" w:rsidR="00393956" w:rsidRDefault="00146C53" w:rsidP="00146C53">
      <w:pPr>
        <w:pStyle w:val="Heading2"/>
        <w:rPr>
          <w:b/>
          <w:bCs/>
        </w:rPr>
      </w:pPr>
      <w:r w:rsidRPr="00146C53">
        <w:rPr>
          <w:b/>
          <w:bCs/>
        </w:rPr>
        <w:t>Know Your Rights!</w:t>
      </w:r>
    </w:p>
    <w:p w14:paraId="5E5FC65C" w14:textId="2627CE25" w:rsidR="00F061CE" w:rsidRDefault="00914651" w:rsidP="005E7BB8">
      <w:pPr>
        <w:spacing w:line="276" w:lineRule="auto"/>
      </w:pPr>
      <w:r w:rsidRPr="00914651">
        <w:t>A publication of the Protection &amp; Advocacy for Individuals with Mental Illness (PAIMI) Program</w:t>
      </w:r>
    </w:p>
    <w:p w14:paraId="601C2267" w14:textId="77777777" w:rsidR="00DB5D1D" w:rsidRPr="00146C53" w:rsidRDefault="00DB5D1D" w:rsidP="005E7BB8">
      <w:pPr>
        <w:spacing w:line="276" w:lineRule="auto"/>
      </w:pPr>
    </w:p>
    <w:p w14:paraId="19AD18F2" w14:textId="768BEB34" w:rsidR="008A2299" w:rsidRPr="00FE158C" w:rsidRDefault="00FE158C" w:rsidP="00556778">
      <w:pPr>
        <w:pStyle w:val="Heading3"/>
        <w:spacing w:line="360" w:lineRule="auto"/>
      </w:pPr>
      <w:r w:rsidRPr="00FE158C">
        <w:t xml:space="preserve">Contact </w:t>
      </w:r>
      <w:r w:rsidR="008B6ADB" w:rsidRPr="00FE158C">
        <w:t>Disability Rights South Dakota (DRSD)</w:t>
      </w:r>
    </w:p>
    <w:p w14:paraId="5B9886CF" w14:textId="45063503" w:rsidR="00277D0C" w:rsidRDefault="00277D0C" w:rsidP="005E7BB8">
      <w:pPr>
        <w:spacing w:before="0" w:after="0" w:line="276" w:lineRule="auto"/>
      </w:pPr>
      <w:r>
        <w:t xml:space="preserve">Call </w:t>
      </w:r>
      <w:r w:rsidR="008B6ADB" w:rsidRPr="00556778">
        <w:rPr>
          <w:b/>
          <w:bCs/>
        </w:rPr>
        <w:t>1-800-658-4782</w:t>
      </w:r>
      <w:r w:rsidR="008B6ADB">
        <w:t xml:space="preserve"> or </w:t>
      </w:r>
      <w:r w:rsidR="008B6ADB" w:rsidRPr="00556778">
        <w:rPr>
          <w:b/>
          <w:bCs/>
        </w:rPr>
        <w:t>605-224-8294</w:t>
      </w:r>
      <w:r>
        <w:t xml:space="preserve">. Visit us online at </w:t>
      </w:r>
      <w:hyperlink r:id="rId6" w:history="1">
        <w:r w:rsidRPr="004F0D89">
          <w:rPr>
            <w:rStyle w:val="Hyperlink"/>
          </w:rPr>
          <w:t>www.drsdlaw.org</w:t>
        </w:r>
      </w:hyperlink>
      <w:r>
        <w:t>.</w:t>
      </w:r>
    </w:p>
    <w:p w14:paraId="7EBA1BDD" w14:textId="3260B5C4" w:rsidR="00F061CE" w:rsidRDefault="00914651" w:rsidP="005E7BB8">
      <w:pPr>
        <w:spacing w:line="276" w:lineRule="auto"/>
      </w:pPr>
      <w:r w:rsidRPr="00914651">
        <w:t>This information is provided as general information regarding mental illness hearings. A person who may be subject to a mental illness hearing is strongly encouraged to consult with an attorney. This information should not be considered as legal advice. Other formats of this brochure are available upon request.</w:t>
      </w:r>
    </w:p>
    <w:p w14:paraId="4329ECB4" w14:textId="77777777" w:rsidR="00DB5D1D" w:rsidRPr="008A2299" w:rsidRDefault="00DB5D1D" w:rsidP="005E7BB8">
      <w:pPr>
        <w:spacing w:line="276" w:lineRule="auto"/>
      </w:pPr>
    </w:p>
    <w:p w14:paraId="1F77DB59" w14:textId="205CEE4E" w:rsidR="00CE0C21" w:rsidRDefault="007C2237" w:rsidP="00FE158C">
      <w:pPr>
        <w:pStyle w:val="Heading3"/>
      </w:pPr>
      <w:r>
        <w:t>How does the Commitment Process Begin?</w:t>
      </w:r>
    </w:p>
    <w:p w14:paraId="097802AF" w14:textId="7B695692" w:rsidR="00FC2FD5" w:rsidRDefault="006F0D83" w:rsidP="005E7BB8">
      <w:pPr>
        <w:spacing w:after="0" w:line="276" w:lineRule="auto"/>
      </w:pPr>
      <w:r w:rsidRPr="006F0D83">
        <w:t>Any person, 18 years of age or older, may complete a petition stating:</w:t>
      </w:r>
    </w:p>
    <w:p w14:paraId="26483F5C" w14:textId="77777777" w:rsidR="006F0D83" w:rsidRDefault="006F0D83" w:rsidP="00F061CE">
      <w:pPr>
        <w:spacing w:after="0" w:line="276" w:lineRule="auto"/>
        <w:ind w:left="720"/>
      </w:pPr>
      <w:r w:rsidRPr="00627A50">
        <w:rPr>
          <w:b/>
          <w:bCs/>
        </w:rPr>
        <w:t>(1)</w:t>
      </w:r>
      <w:r w:rsidRPr="006F0D83">
        <w:t xml:space="preserve"> why they believe a particular person is </w:t>
      </w:r>
      <w:r w:rsidRPr="002C789E">
        <w:rPr>
          <w:i/>
          <w:iCs/>
          <w:u w:val="single"/>
        </w:rPr>
        <w:t>severely mentally ill</w:t>
      </w:r>
      <w:r w:rsidRPr="006F0D83">
        <w:t xml:space="preserve">; </w:t>
      </w:r>
      <w:r w:rsidRPr="00C42AD1">
        <w:rPr>
          <w:b/>
          <w:bCs/>
        </w:rPr>
        <w:t>and</w:t>
      </w:r>
    </w:p>
    <w:p w14:paraId="799F8131" w14:textId="4270C691" w:rsidR="00F061CE" w:rsidRDefault="006F0D83" w:rsidP="00F061CE">
      <w:pPr>
        <w:spacing w:after="0" w:line="276" w:lineRule="auto"/>
        <w:ind w:left="720"/>
      </w:pPr>
      <w:r w:rsidRPr="00627A50">
        <w:rPr>
          <w:b/>
          <w:bCs/>
        </w:rPr>
        <w:t>(2)</w:t>
      </w:r>
      <w:r w:rsidRPr="006F0D83">
        <w:t xml:space="preserve"> why that person is in </w:t>
      </w:r>
      <w:r w:rsidRPr="002C789E">
        <w:rPr>
          <w:i/>
          <w:iCs/>
          <w:u w:val="single"/>
        </w:rPr>
        <w:t>immediate need of intervention</w:t>
      </w:r>
      <w:r w:rsidRPr="006F0D83">
        <w:t>.</w:t>
      </w:r>
    </w:p>
    <w:p w14:paraId="74D7E63E" w14:textId="75F9FE43" w:rsidR="00F061CE" w:rsidRPr="00F061CE" w:rsidRDefault="00BC36EF" w:rsidP="00F061CE">
      <w:pPr>
        <w:spacing w:after="0" w:line="276" w:lineRule="auto"/>
        <w:rPr>
          <w:b/>
          <w:bCs/>
        </w:rPr>
      </w:pPr>
      <w:r w:rsidRPr="00BC36EF">
        <w:t xml:space="preserve">The completed petition is submitted to the chair of the county board of mental illness for review. </w:t>
      </w:r>
      <w:r w:rsidR="006D678B">
        <w:t>The chair may then order the apprehension of the person if the chair has probable cause to believe that the criteria for commitment is met.</w:t>
      </w:r>
      <w:r w:rsidR="000A79A3">
        <w:t xml:space="preserve"> </w:t>
      </w:r>
      <w:r w:rsidR="00D14807" w:rsidRPr="000A79A3">
        <w:rPr>
          <w:b/>
          <w:bCs/>
        </w:rPr>
        <w:t>The individual taken into custody has the right to immediately contact a person of his/her own choosing and be represented by an attorney.</w:t>
      </w:r>
    </w:p>
    <w:p w14:paraId="35FEEC11" w14:textId="1BFEC3F5" w:rsidR="00D14807" w:rsidRDefault="00D14807" w:rsidP="005E7BB8">
      <w:pPr>
        <w:spacing w:after="0" w:line="276" w:lineRule="auto"/>
      </w:pPr>
      <w:r w:rsidRPr="00D14807">
        <w:t>A notice of hearing is then issued and should include the following:</w:t>
      </w:r>
    </w:p>
    <w:p w14:paraId="3E73B04A" w14:textId="77777777" w:rsidR="00CB6552" w:rsidRDefault="00CB6552" w:rsidP="00F061CE">
      <w:pPr>
        <w:spacing w:after="0" w:line="276" w:lineRule="auto"/>
        <w:ind w:left="720"/>
      </w:pPr>
      <w:r w:rsidRPr="00627A50">
        <w:rPr>
          <w:b/>
          <w:bCs/>
        </w:rPr>
        <w:t>(1)</w:t>
      </w:r>
      <w:r w:rsidRPr="00CB6552">
        <w:t xml:space="preserve"> The </w:t>
      </w:r>
      <w:r w:rsidRPr="002C789E">
        <w:rPr>
          <w:i/>
          <w:iCs/>
          <w:u w:val="single"/>
        </w:rPr>
        <w:t>time</w:t>
      </w:r>
      <w:r w:rsidRPr="00CB6552">
        <w:t xml:space="preserve">, </w:t>
      </w:r>
      <w:r w:rsidRPr="002C789E">
        <w:rPr>
          <w:i/>
          <w:iCs/>
          <w:u w:val="single"/>
        </w:rPr>
        <w:t>date</w:t>
      </w:r>
      <w:r w:rsidRPr="00CB6552">
        <w:t xml:space="preserve">, and </w:t>
      </w:r>
      <w:r w:rsidRPr="002C789E">
        <w:rPr>
          <w:i/>
          <w:iCs/>
          <w:u w:val="single"/>
        </w:rPr>
        <w:t>place</w:t>
      </w:r>
      <w:r w:rsidRPr="00CB6552">
        <w:t xml:space="preserve"> of a hearing; </w:t>
      </w:r>
    </w:p>
    <w:p w14:paraId="40688017" w14:textId="77777777" w:rsidR="00CB6552" w:rsidRDefault="00CB6552" w:rsidP="00F061CE">
      <w:pPr>
        <w:spacing w:after="0" w:line="276" w:lineRule="auto"/>
        <w:ind w:left="720"/>
      </w:pPr>
      <w:r w:rsidRPr="00627A50">
        <w:rPr>
          <w:b/>
          <w:bCs/>
        </w:rPr>
        <w:t>(2)</w:t>
      </w:r>
      <w:r w:rsidRPr="00CB6552">
        <w:t xml:space="preserve"> Notice of the </w:t>
      </w:r>
      <w:r w:rsidRPr="00550052">
        <w:rPr>
          <w:i/>
          <w:iCs/>
          <w:u w:val="single"/>
        </w:rPr>
        <w:t>right to an attorney</w:t>
      </w:r>
      <w:r w:rsidRPr="00CB6552">
        <w:t xml:space="preserve">; </w:t>
      </w:r>
    </w:p>
    <w:p w14:paraId="119585B4" w14:textId="77777777" w:rsidR="00CB6552" w:rsidRDefault="00CB6552" w:rsidP="00F061CE">
      <w:pPr>
        <w:spacing w:after="0" w:line="276" w:lineRule="auto"/>
        <w:ind w:left="720"/>
      </w:pPr>
      <w:r w:rsidRPr="00627A50">
        <w:rPr>
          <w:b/>
          <w:bCs/>
        </w:rPr>
        <w:t>(3)</w:t>
      </w:r>
      <w:r w:rsidRPr="00CB6552">
        <w:t xml:space="preserve"> Notice of an </w:t>
      </w:r>
      <w:r w:rsidRPr="00550052">
        <w:rPr>
          <w:i/>
          <w:iCs/>
          <w:u w:val="single"/>
        </w:rPr>
        <w:t>examination within 24 hours</w:t>
      </w:r>
      <w:r w:rsidRPr="00CB6552">
        <w:t xml:space="preserve"> of being taken into custody; </w:t>
      </w:r>
    </w:p>
    <w:p w14:paraId="4B6DA006" w14:textId="77777777" w:rsidR="00CB6552" w:rsidRDefault="00CB6552" w:rsidP="00F061CE">
      <w:pPr>
        <w:spacing w:after="0" w:line="276" w:lineRule="auto"/>
        <w:ind w:left="720"/>
      </w:pPr>
      <w:r w:rsidRPr="00627A50">
        <w:rPr>
          <w:b/>
          <w:bCs/>
        </w:rPr>
        <w:t>(4)</w:t>
      </w:r>
      <w:r w:rsidRPr="00CB6552">
        <w:t xml:space="preserve"> Notice that </w:t>
      </w:r>
      <w:r w:rsidRPr="00550052">
        <w:rPr>
          <w:i/>
          <w:iCs/>
          <w:u w:val="single"/>
        </w:rPr>
        <w:t>medical records will be available</w:t>
      </w:r>
      <w:r w:rsidRPr="00CB6552">
        <w:t xml:space="preserve"> to the examiner and the person’s attorney; and </w:t>
      </w:r>
    </w:p>
    <w:p w14:paraId="72FA0A9E" w14:textId="30FE872B" w:rsidR="00F061CE" w:rsidRDefault="00CB6552" w:rsidP="00DB5D1D">
      <w:pPr>
        <w:spacing w:line="276" w:lineRule="auto"/>
        <w:ind w:left="720"/>
      </w:pPr>
      <w:r w:rsidRPr="00627A50">
        <w:rPr>
          <w:b/>
          <w:bCs/>
        </w:rPr>
        <w:t>(5)</w:t>
      </w:r>
      <w:r w:rsidRPr="00CB6552">
        <w:t xml:space="preserve"> Notice of the individual’s </w:t>
      </w:r>
      <w:r w:rsidRPr="00550052">
        <w:rPr>
          <w:i/>
          <w:iCs/>
          <w:u w:val="single"/>
        </w:rPr>
        <w:t>right to obtain an independent evaluation</w:t>
      </w:r>
      <w:r w:rsidRPr="00CB6552">
        <w:t>.</w:t>
      </w:r>
    </w:p>
    <w:p w14:paraId="3C990ED7" w14:textId="0BEE32E1" w:rsidR="00B6471B" w:rsidRDefault="00CB6552" w:rsidP="00C22FA8">
      <w:pPr>
        <w:pStyle w:val="Heading3"/>
      </w:pPr>
      <w:r>
        <w:lastRenderedPageBreak/>
        <w:t>Criteria for Commitment</w:t>
      </w:r>
    </w:p>
    <w:p w14:paraId="454DFFBD" w14:textId="7066080C" w:rsidR="00B22633" w:rsidRDefault="00FE68D6" w:rsidP="00CA0B97">
      <w:pPr>
        <w:spacing w:after="0" w:line="276" w:lineRule="auto"/>
      </w:pPr>
      <w:r w:rsidRPr="00FE68D6">
        <w:t>A person 18 years of age or older may be</w:t>
      </w:r>
      <w:r>
        <w:t xml:space="preserve"> </w:t>
      </w:r>
      <w:r w:rsidR="00FE7C45">
        <w:t>involuntary committed if it is proven by “clear and convincing” evidence that:</w:t>
      </w:r>
    </w:p>
    <w:p w14:paraId="1145042B" w14:textId="77777777" w:rsidR="00FE7C45" w:rsidRDefault="00FE7C45" w:rsidP="00F061CE">
      <w:pPr>
        <w:spacing w:after="0" w:line="276" w:lineRule="auto"/>
        <w:ind w:left="720"/>
      </w:pPr>
      <w:r w:rsidRPr="00627A50">
        <w:rPr>
          <w:b/>
          <w:bCs/>
        </w:rPr>
        <w:t>(1)</w:t>
      </w:r>
      <w:r>
        <w:t xml:space="preserve"> The person has a </w:t>
      </w:r>
      <w:r w:rsidRPr="00582CCF">
        <w:rPr>
          <w:i/>
          <w:iCs/>
          <w:u w:val="single"/>
        </w:rPr>
        <w:t>severe mental illness</w:t>
      </w:r>
      <w:r>
        <w:t xml:space="preserve">; </w:t>
      </w:r>
      <w:r w:rsidRPr="00582CCF">
        <w:rPr>
          <w:b/>
          <w:bCs/>
        </w:rPr>
        <w:t>AND</w:t>
      </w:r>
      <w:r>
        <w:t xml:space="preserve"> </w:t>
      </w:r>
    </w:p>
    <w:p w14:paraId="49A3EEDD" w14:textId="77777777" w:rsidR="00FE7C45" w:rsidRDefault="00FE7C45" w:rsidP="00F061CE">
      <w:pPr>
        <w:spacing w:after="0" w:line="276" w:lineRule="auto"/>
        <w:ind w:left="720"/>
      </w:pPr>
      <w:r w:rsidRPr="00627A50">
        <w:rPr>
          <w:b/>
          <w:bCs/>
        </w:rPr>
        <w:t>(2)</w:t>
      </w:r>
      <w:r>
        <w:t xml:space="preserve"> Due to the severe mental illness, the person is a </w:t>
      </w:r>
      <w:r w:rsidRPr="00582CCF">
        <w:rPr>
          <w:i/>
          <w:iCs/>
          <w:u w:val="single"/>
        </w:rPr>
        <w:t xml:space="preserve">danger to self or others </w:t>
      </w:r>
      <w:r w:rsidRPr="007E13D9">
        <w:rPr>
          <w:b/>
          <w:bCs/>
          <w:i/>
          <w:iCs/>
          <w:u w:val="single"/>
        </w:rPr>
        <w:t>or</w:t>
      </w:r>
      <w:r w:rsidRPr="00582CCF">
        <w:rPr>
          <w:i/>
          <w:iCs/>
          <w:u w:val="single"/>
        </w:rPr>
        <w:t xml:space="preserve"> has a chronic disability</w:t>
      </w:r>
      <w:r>
        <w:t xml:space="preserve">; </w:t>
      </w:r>
      <w:r w:rsidRPr="007E13D9">
        <w:rPr>
          <w:b/>
          <w:bCs/>
        </w:rPr>
        <w:t>AND</w:t>
      </w:r>
      <w:r>
        <w:t xml:space="preserve"> </w:t>
      </w:r>
    </w:p>
    <w:p w14:paraId="154FB96F" w14:textId="310F6D27" w:rsidR="00FE7C45" w:rsidRDefault="00FE7C45" w:rsidP="00F061CE">
      <w:pPr>
        <w:spacing w:after="0" w:line="276" w:lineRule="auto"/>
        <w:ind w:left="720"/>
      </w:pPr>
      <w:r w:rsidRPr="00627A50">
        <w:rPr>
          <w:b/>
          <w:bCs/>
        </w:rPr>
        <w:t>(3)</w:t>
      </w:r>
      <w:r>
        <w:t xml:space="preserve"> The person </w:t>
      </w:r>
      <w:r w:rsidRPr="007E13D9">
        <w:rPr>
          <w:i/>
          <w:iCs/>
          <w:u w:val="single"/>
        </w:rPr>
        <w:t>needs</w:t>
      </w:r>
      <w:r>
        <w:t xml:space="preserve"> and is likely to </w:t>
      </w:r>
      <w:r w:rsidRPr="007E13D9">
        <w:rPr>
          <w:i/>
          <w:iCs/>
          <w:u w:val="single"/>
        </w:rPr>
        <w:t>benefit from treatment</w:t>
      </w:r>
      <w:r>
        <w:t>.</w:t>
      </w:r>
    </w:p>
    <w:p w14:paraId="6AB6E8D1" w14:textId="27AD8269" w:rsidR="00F061CE" w:rsidRDefault="00FE7C45" w:rsidP="00F061CE">
      <w:pPr>
        <w:spacing w:after="0" w:line="276" w:lineRule="auto"/>
        <w:ind w:left="720"/>
      </w:pPr>
      <w:r>
        <w:t xml:space="preserve">It must also be shown that the person will likely benefit from the </w:t>
      </w:r>
      <w:r w:rsidRPr="00387C27">
        <w:rPr>
          <w:i/>
          <w:iCs/>
          <w:u w:val="single"/>
        </w:rPr>
        <w:t>proposed treatment</w:t>
      </w:r>
      <w:r>
        <w:t xml:space="preserve"> and that commitment to a particular facility is the </w:t>
      </w:r>
      <w:r w:rsidRPr="00387C27">
        <w:rPr>
          <w:i/>
          <w:iCs/>
          <w:u w:val="single"/>
        </w:rPr>
        <w:t>least restrictive treatment option</w:t>
      </w:r>
      <w:r>
        <w:t xml:space="preserve">. </w:t>
      </w:r>
    </w:p>
    <w:p w14:paraId="54696015" w14:textId="77777777" w:rsidR="00FE7C45" w:rsidRDefault="00FE7C45" w:rsidP="00CA0B97">
      <w:pPr>
        <w:spacing w:after="0" w:line="276" w:lineRule="auto"/>
      </w:pPr>
      <w:r>
        <w:t xml:space="preserve">If the evidence </w:t>
      </w:r>
      <w:r w:rsidRPr="00387C27">
        <w:rPr>
          <w:b/>
          <w:bCs/>
          <w:u w:val="single"/>
        </w:rPr>
        <w:t>DOES NOT</w:t>
      </w:r>
      <w:r>
        <w:t xml:space="preserve"> establish the above, the person is to be released. </w:t>
      </w:r>
    </w:p>
    <w:p w14:paraId="740031EC" w14:textId="66F16588" w:rsidR="00F061CE" w:rsidRDefault="00FE7C45" w:rsidP="00CA0B97">
      <w:pPr>
        <w:spacing w:after="0" w:line="276" w:lineRule="auto"/>
      </w:pPr>
      <w:r>
        <w:t xml:space="preserve">The referring county is required to provide transportation for the person to the county where the person was taken into custody, if the person would like to return to that location. </w:t>
      </w:r>
    </w:p>
    <w:p w14:paraId="37DB34FB" w14:textId="390C7E2E" w:rsidR="00FE7C45" w:rsidRDefault="00FE7C45" w:rsidP="00CA0B97">
      <w:pPr>
        <w:spacing w:after="0" w:line="276" w:lineRule="auto"/>
      </w:pPr>
      <w:r>
        <w:t xml:space="preserve">If the evidence </w:t>
      </w:r>
      <w:r w:rsidRPr="00387C27">
        <w:rPr>
          <w:b/>
          <w:bCs/>
          <w:u w:val="single"/>
        </w:rPr>
        <w:t>DOES</w:t>
      </w:r>
      <w:r>
        <w:t xml:space="preserve"> establish all of the above, the board may commit the person for up to </w:t>
      </w:r>
      <w:r w:rsidRPr="00387C27">
        <w:rPr>
          <w:i/>
          <w:iCs/>
          <w:u w:val="single"/>
        </w:rPr>
        <w:t>ninety (90) days</w:t>
      </w:r>
      <w:r>
        <w:t xml:space="preserve"> to:</w:t>
      </w:r>
    </w:p>
    <w:p w14:paraId="18E0A1E5" w14:textId="77777777" w:rsidR="007A7DB4" w:rsidRDefault="007A7DB4" w:rsidP="00F061CE">
      <w:pPr>
        <w:spacing w:after="0" w:line="276" w:lineRule="auto"/>
        <w:ind w:left="720"/>
      </w:pPr>
      <w:r w:rsidRPr="00627A50">
        <w:rPr>
          <w:b/>
          <w:bCs/>
        </w:rPr>
        <w:t>(1)</w:t>
      </w:r>
      <w:r>
        <w:t xml:space="preserve"> The Human Services Center;</w:t>
      </w:r>
    </w:p>
    <w:p w14:paraId="02BD338F" w14:textId="77777777" w:rsidR="007A7DB4" w:rsidRDefault="007A7DB4" w:rsidP="00F061CE">
      <w:pPr>
        <w:spacing w:after="0" w:line="276" w:lineRule="auto"/>
        <w:ind w:left="720"/>
      </w:pPr>
      <w:r w:rsidRPr="00627A50">
        <w:rPr>
          <w:b/>
          <w:bCs/>
        </w:rPr>
        <w:t>(2)</w:t>
      </w:r>
      <w:r>
        <w:t xml:space="preserve"> A Veteran’s Administration Hospital; </w:t>
      </w:r>
    </w:p>
    <w:p w14:paraId="6752C9A7" w14:textId="77777777" w:rsidR="007A7DB4" w:rsidRDefault="007A7DB4" w:rsidP="00F061CE">
      <w:pPr>
        <w:spacing w:after="0" w:line="276" w:lineRule="auto"/>
        <w:ind w:left="720"/>
      </w:pPr>
      <w:r w:rsidRPr="00627A50">
        <w:rPr>
          <w:b/>
          <w:bCs/>
        </w:rPr>
        <w:t>(3)</w:t>
      </w:r>
      <w:r>
        <w:t xml:space="preserve"> A private facility (only if that facility agrees and transfer will not result in cost to the county); </w:t>
      </w:r>
      <w:r w:rsidRPr="005156AB">
        <w:rPr>
          <w:b/>
          <w:bCs/>
        </w:rPr>
        <w:t xml:space="preserve">or </w:t>
      </w:r>
    </w:p>
    <w:p w14:paraId="712907D4" w14:textId="2F943B0A" w:rsidR="00F061CE" w:rsidRDefault="007A7DB4" w:rsidP="00DB5D1D">
      <w:pPr>
        <w:spacing w:line="276" w:lineRule="auto"/>
        <w:ind w:left="720"/>
      </w:pPr>
      <w:r w:rsidRPr="00627A50">
        <w:rPr>
          <w:b/>
          <w:bCs/>
        </w:rPr>
        <w:t>(4)</w:t>
      </w:r>
      <w:r>
        <w:t xml:space="preserve"> An outpatient treatment facility.</w:t>
      </w:r>
    </w:p>
    <w:p w14:paraId="64A9ADDF" w14:textId="77777777" w:rsidR="00DB5D1D" w:rsidRDefault="00DB5D1D" w:rsidP="00DB5D1D">
      <w:pPr>
        <w:spacing w:line="276" w:lineRule="auto"/>
        <w:ind w:left="720"/>
      </w:pPr>
    </w:p>
    <w:p w14:paraId="147FD483" w14:textId="6CD5F45E" w:rsidR="001241B9" w:rsidRDefault="007A7DB4" w:rsidP="001241B9">
      <w:pPr>
        <w:pStyle w:val="Heading3"/>
      </w:pPr>
      <w:r>
        <w:t>Know Your Rights</w:t>
      </w:r>
    </w:p>
    <w:p w14:paraId="7A1F29D2" w14:textId="77777777" w:rsidR="00C11C00" w:rsidRDefault="00C11C00" w:rsidP="00CA0B97">
      <w:pPr>
        <w:spacing w:line="276" w:lineRule="auto"/>
      </w:pPr>
      <w:r>
        <w:t>The person for which a commitment hearing is held has the right:</w:t>
      </w:r>
    </w:p>
    <w:p w14:paraId="139A00CB" w14:textId="77777777" w:rsidR="00CE48FD" w:rsidRDefault="00CE48FD" w:rsidP="00CA0B97">
      <w:pPr>
        <w:pStyle w:val="ListParagraph"/>
        <w:numPr>
          <w:ilvl w:val="0"/>
          <w:numId w:val="11"/>
        </w:numPr>
        <w:spacing w:line="276" w:lineRule="auto"/>
      </w:pPr>
      <w:r>
        <w:t xml:space="preserve">To have the hearing within </w:t>
      </w:r>
      <w:r w:rsidRPr="005156AB">
        <w:rPr>
          <w:i/>
          <w:iCs/>
          <w:u w:val="single"/>
        </w:rPr>
        <w:t>5 days</w:t>
      </w:r>
      <w:r>
        <w:t xml:space="preserve"> after being taken into custody (this timeline is extended if the time period falls over a weekend or holiday).</w:t>
      </w:r>
    </w:p>
    <w:p w14:paraId="72C3B2C1" w14:textId="77777777" w:rsidR="00CE48FD" w:rsidRDefault="00CE48FD" w:rsidP="00CA0B97">
      <w:pPr>
        <w:pStyle w:val="ListParagraph"/>
        <w:numPr>
          <w:ilvl w:val="0"/>
          <w:numId w:val="11"/>
        </w:numPr>
        <w:spacing w:line="276" w:lineRule="auto"/>
      </w:pPr>
      <w:r>
        <w:t xml:space="preserve">To </w:t>
      </w:r>
      <w:r w:rsidRPr="005156AB">
        <w:rPr>
          <w:i/>
          <w:iCs/>
          <w:u w:val="single"/>
        </w:rPr>
        <w:t>consult with an attorney</w:t>
      </w:r>
      <w:r>
        <w:t xml:space="preserve"> prior to the hearing.</w:t>
      </w:r>
    </w:p>
    <w:p w14:paraId="126D8074" w14:textId="77777777" w:rsidR="00CE48FD" w:rsidRDefault="00CE48FD" w:rsidP="00CA0B97">
      <w:pPr>
        <w:pStyle w:val="ListParagraph"/>
        <w:numPr>
          <w:ilvl w:val="0"/>
          <w:numId w:val="11"/>
        </w:numPr>
        <w:spacing w:line="276" w:lineRule="auto"/>
      </w:pPr>
      <w:r>
        <w:t xml:space="preserve">To participate in </w:t>
      </w:r>
      <w:r w:rsidRPr="005156AB">
        <w:rPr>
          <w:i/>
          <w:iCs/>
          <w:u w:val="single"/>
        </w:rPr>
        <w:t>planning</w:t>
      </w:r>
      <w:r>
        <w:t xml:space="preserve"> for the hearing.</w:t>
      </w:r>
    </w:p>
    <w:p w14:paraId="2793CB5E" w14:textId="77777777" w:rsidR="00CE48FD" w:rsidRDefault="00CE48FD" w:rsidP="00CA0B97">
      <w:pPr>
        <w:pStyle w:val="ListParagraph"/>
        <w:numPr>
          <w:ilvl w:val="0"/>
          <w:numId w:val="11"/>
        </w:numPr>
        <w:spacing w:line="276" w:lineRule="auto"/>
      </w:pPr>
      <w:r>
        <w:t xml:space="preserve">To </w:t>
      </w:r>
      <w:r w:rsidRPr="001B520A">
        <w:rPr>
          <w:i/>
          <w:iCs/>
          <w:u w:val="single"/>
        </w:rPr>
        <w:t>attend</w:t>
      </w:r>
      <w:r>
        <w:t xml:space="preserve"> the hearing.</w:t>
      </w:r>
    </w:p>
    <w:p w14:paraId="2474B2F7" w14:textId="77777777" w:rsidR="00CE48FD" w:rsidRDefault="00CE48FD" w:rsidP="00CA0B97">
      <w:pPr>
        <w:pStyle w:val="ListParagraph"/>
        <w:numPr>
          <w:ilvl w:val="0"/>
          <w:numId w:val="11"/>
        </w:numPr>
        <w:spacing w:line="276" w:lineRule="auto"/>
      </w:pPr>
      <w:r>
        <w:t xml:space="preserve">To </w:t>
      </w:r>
      <w:r w:rsidRPr="001B520A">
        <w:rPr>
          <w:i/>
          <w:iCs/>
          <w:u w:val="single"/>
        </w:rPr>
        <w:t>present evidence</w:t>
      </w:r>
      <w:r>
        <w:t xml:space="preserve">, </w:t>
      </w:r>
      <w:r w:rsidRPr="001B520A">
        <w:rPr>
          <w:i/>
          <w:iCs/>
          <w:u w:val="single"/>
        </w:rPr>
        <w:t>subpoena and cross-examine witnesses</w:t>
      </w:r>
      <w:r>
        <w:t xml:space="preserve">, and </w:t>
      </w:r>
      <w:r w:rsidRPr="001B520A">
        <w:rPr>
          <w:i/>
          <w:iCs/>
          <w:u w:val="single"/>
        </w:rPr>
        <w:t>testify</w:t>
      </w:r>
      <w:r>
        <w:t xml:space="preserve"> on their own behalf at the hearing.</w:t>
      </w:r>
    </w:p>
    <w:p w14:paraId="39B70B70" w14:textId="77777777" w:rsidR="00CE48FD" w:rsidRDefault="00CE48FD" w:rsidP="00CA0B97">
      <w:pPr>
        <w:pStyle w:val="ListParagraph"/>
        <w:numPr>
          <w:ilvl w:val="0"/>
          <w:numId w:val="11"/>
        </w:numPr>
        <w:spacing w:line="276" w:lineRule="auto"/>
      </w:pPr>
      <w:r>
        <w:t xml:space="preserve">To </w:t>
      </w:r>
      <w:r w:rsidRPr="00753C47">
        <w:rPr>
          <w:i/>
          <w:iCs/>
          <w:u w:val="single"/>
        </w:rPr>
        <w:t>decide whether any person not necessary for the hearing is allowed to be present</w:t>
      </w:r>
      <w:r>
        <w:t xml:space="preserve"> during the hearing.</w:t>
      </w:r>
    </w:p>
    <w:p w14:paraId="29D2F9C3" w14:textId="77777777" w:rsidR="00CE48FD" w:rsidRDefault="00CE48FD" w:rsidP="00CA0B97">
      <w:pPr>
        <w:pStyle w:val="ListParagraph"/>
        <w:numPr>
          <w:ilvl w:val="0"/>
          <w:numId w:val="11"/>
        </w:numPr>
        <w:spacing w:line="276" w:lineRule="auto"/>
      </w:pPr>
      <w:r>
        <w:t xml:space="preserve">To </w:t>
      </w:r>
      <w:r w:rsidRPr="00753C47">
        <w:rPr>
          <w:i/>
          <w:iCs/>
          <w:u w:val="single"/>
        </w:rPr>
        <w:t>know the names and functions</w:t>
      </w:r>
      <w:r>
        <w:t xml:space="preserve"> of anyone who will be at the hearing and/or testifying.</w:t>
      </w:r>
    </w:p>
    <w:p w14:paraId="4E71740A" w14:textId="77777777" w:rsidR="00CE48FD" w:rsidRDefault="00CE48FD" w:rsidP="00CA0B97">
      <w:pPr>
        <w:pStyle w:val="ListParagraph"/>
        <w:numPr>
          <w:ilvl w:val="0"/>
          <w:numId w:val="11"/>
        </w:numPr>
        <w:spacing w:line="276" w:lineRule="auto"/>
      </w:pPr>
      <w:r>
        <w:t xml:space="preserve">To have an </w:t>
      </w:r>
      <w:r w:rsidRPr="00753C47">
        <w:rPr>
          <w:i/>
          <w:iCs/>
          <w:u w:val="single"/>
        </w:rPr>
        <w:t>independent evaluation</w:t>
      </w:r>
      <w:r>
        <w:t xml:space="preserve"> completed by a qualified mental health professional.</w:t>
      </w:r>
    </w:p>
    <w:p w14:paraId="5545C020" w14:textId="77777777" w:rsidR="00CE48FD" w:rsidRDefault="00CE48FD" w:rsidP="00CA0B97">
      <w:pPr>
        <w:pStyle w:val="ListParagraph"/>
        <w:numPr>
          <w:ilvl w:val="0"/>
          <w:numId w:val="11"/>
        </w:numPr>
        <w:spacing w:line="276" w:lineRule="auto"/>
      </w:pPr>
      <w:r>
        <w:t xml:space="preserve">To be informed of the </w:t>
      </w:r>
      <w:r w:rsidRPr="00753C47">
        <w:rPr>
          <w:i/>
          <w:iCs/>
          <w:u w:val="single"/>
        </w:rPr>
        <w:t>names and functions</w:t>
      </w:r>
      <w:r>
        <w:t xml:space="preserve"> of anyone who will be collecting information or performing any evaluations, and how that information may be used for the hearing.</w:t>
      </w:r>
    </w:p>
    <w:p w14:paraId="222499D3" w14:textId="77777777" w:rsidR="00CE48FD" w:rsidRDefault="00CE48FD" w:rsidP="00CA0B97">
      <w:pPr>
        <w:pStyle w:val="ListParagraph"/>
        <w:numPr>
          <w:ilvl w:val="0"/>
          <w:numId w:val="11"/>
        </w:numPr>
        <w:spacing w:line="276" w:lineRule="auto"/>
      </w:pPr>
      <w:r>
        <w:t xml:space="preserve">To request a </w:t>
      </w:r>
      <w:r w:rsidRPr="007774EF">
        <w:rPr>
          <w:i/>
          <w:iCs/>
          <w:u w:val="single"/>
        </w:rPr>
        <w:t>continuance</w:t>
      </w:r>
      <w:r>
        <w:t xml:space="preserve"> (delay the hearing date) in order to have additional time to prepare and consult an attorney.</w:t>
      </w:r>
    </w:p>
    <w:p w14:paraId="3B9B6AF4" w14:textId="77777777" w:rsidR="00CE48FD" w:rsidRDefault="00CE48FD" w:rsidP="00CA0B97">
      <w:pPr>
        <w:pStyle w:val="ListParagraph"/>
        <w:numPr>
          <w:ilvl w:val="0"/>
          <w:numId w:val="11"/>
        </w:numPr>
        <w:spacing w:line="276" w:lineRule="auto"/>
      </w:pPr>
      <w:r>
        <w:t xml:space="preserve">To choose to </w:t>
      </w:r>
      <w:r w:rsidRPr="007774EF">
        <w:rPr>
          <w:i/>
          <w:iCs/>
          <w:u w:val="single"/>
        </w:rPr>
        <w:t>enter a treatment program voluntarily</w:t>
      </w:r>
      <w:r>
        <w:t xml:space="preserve"> and forego a hearing.</w:t>
      </w:r>
    </w:p>
    <w:p w14:paraId="143311FD" w14:textId="77777777" w:rsidR="00CE48FD" w:rsidRDefault="00CE48FD" w:rsidP="00CA0B97">
      <w:pPr>
        <w:pStyle w:val="ListParagraph"/>
        <w:numPr>
          <w:ilvl w:val="0"/>
          <w:numId w:val="11"/>
        </w:numPr>
        <w:spacing w:line="276" w:lineRule="auto"/>
      </w:pPr>
      <w:r>
        <w:t xml:space="preserve">To </w:t>
      </w:r>
      <w:r w:rsidRPr="007774EF">
        <w:rPr>
          <w:i/>
          <w:iCs/>
          <w:u w:val="single"/>
        </w:rPr>
        <w:t>refuse to see the mental health professional</w:t>
      </w:r>
      <w:r>
        <w:t xml:space="preserve"> or physician prior to the hearing.</w:t>
      </w:r>
    </w:p>
    <w:p w14:paraId="5CDB449F" w14:textId="77777777" w:rsidR="00CE48FD" w:rsidRDefault="00CE48FD" w:rsidP="00CA0B97">
      <w:pPr>
        <w:pStyle w:val="ListParagraph"/>
        <w:numPr>
          <w:ilvl w:val="0"/>
          <w:numId w:val="11"/>
        </w:numPr>
        <w:spacing w:line="276" w:lineRule="auto"/>
      </w:pPr>
      <w:r>
        <w:t xml:space="preserve">To </w:t>
      </w:r>
      <w:r w:rsidRPr="00F061CE">
        <w:rPr>
          <w:i/>
          <w:iCs/>
          <w:u w:val="single"/>
        </w:rPr>
        <w:t>appeal</w:t>
      </w:r>
      <w:r>
        <w:t xml:space="preserve"> the hearing decision.</w:t>
      </w:r>
    </w:p>
    <w:p w14:paraId="4F3A075C" w14:textId="46951C72" w:rsidR="00F061CE" w:rsidRDefault="00CE48FD" w:rsidP="00F061CE">
      <w:pPr>
        <w:pStyle w:val="ListParagraph"/>
        <w:numPr>
          <w:ilvl w:val="0"/>
          <w:numId w:val="11"/>
        </w:numPr>
        <w:spacing w:line="276" w:lineRule="auto"/>
      </w:pPr>
      <w:r>
        <w:t xml:space="preserve">To know any </w:t>
      </w:r>
      <w:r w:rsidRPr="00F061CE">
        <w:rPr>
          <w:i/>
          <w:iCs/>
          <w:u w:val="single"/>
        </w:rPr>
        <w:t>costs</w:t>
      </w:r>
      <w:r>
        <w:t xml:space="preserve"> associated with commitment and any subsequent exams.</w:t>
      </w:r>
    </w:p>
    <w:p w14:paraId="387B51AE" w14:textId="00BDF29C" w:rsidR="00821B5B" w:rsidRDefault="00821B5B" w:rsidP="00CA0B97">
      <w:pPr>
        <w:spacing w:line="276" w:lineRule="auto"/>
      </w:pPr>
      <w:r w:rsidRPr="00821B5B">
        <w:t>If the person refuses to see a qualified mental health professional or physician, the professional may still testify at the hearing and base their testimony on a review of the person’s medical record.</w:t>
      </w:r>
    </w:p>
    <w:p w14:paraId="6910DE1B" w14:textId="77777777" w:rsidR="00821B5B" w:rsidRDefault="00821B5B" w:rsidP="00DB5D1D">
      <w:pPr>
        <w:spacing w:line="276" w:lineRule="auto"/>
        <w:ind w:left="720"/>
      </w:pPr>
      <w:r>
        <w:t>The professional’s testimony should include:</w:t>
      </w:r>
    </w:p>
    <w:p w14:paraId="4725AE6A" w14:textId="77777777" w:rsidR="00821B5B" w:rsidRDefault="00821B5B" w:rsidP="00DB5D1D">
      <w:pPr>
        <w:spacing w:line="276" w:lineRule="auto"/>
        <w:ind w:left="720"/>
      </w:pPr>
      <w:r w:rsidRPr="00627A50">
        <w:rPr>
          <w:b/>
          <w:bCs/>
        </w:rPr>
        <w:t>(1)</w:t>
      </w:r>
      <w:r>
        <w:t xml:space="preserve"> what alternatives are available,</w:t>
      </w:r>
    </w:p>
    <w:p w14:paraId="0BA0F4F9" w14:textId="77777777" w:rsidR="00821B5B" w:rsidRDefault="00821B5B" w:rsidP="00DB5D1D">
      <w:pPr>
        <w:spacing w:line="276" w:lineRule="auto"/>
        <w:ind w:left="720"/>
      </w:pPr>
      <w:r w:rsidRPr="00627A50">
        <w:rPr>
          <w:b/>
          <w:bCs/>
        </w:rPr>
        <w:t>(2)</w:t>
      </w:r>
      <w:r>
        <w:t xml:space="preserve"> what alternatives should be available,</w:t>
      </w:r>
    </w:p>
    <w:p w14:paraId="38E2AD7A" w14:textId="77777777" w:rsidR="00821B5B" w:rsidRDefault="00821B5B" w:rsidP="00DB5D1D">
      <w:pPr>
        <w:spacing w:line="276" w:lineRule="auto"/>
        <w:ind w:left="720"/>
      </w:pPr>
      <w:r w:rsidRPr="00627A50">
        <w:rPr>
          <w:b/>
          <w:bCs/>
        </w:rPr>
        <w:t>(3)</w:t>
      </w:r>
      <w:r>
        <w:t xml:space="preserve"> what alternatives were investigated,</w:t>
      </w:r>
    </w:p>
    <w:p w14:paraId="2B951771" w14:textId="7D3FD8A7" w:rsidR="00F061CE" w:rsidRDefault="00821B5B" w:rsidP="00DB5D1D">
      <w:pPr>
        <w:spacing w:line="276" w:lineRule="auto"/>
        <w:ind w:left="720"/>
      </w:pPr>
      <w:r w:rsidRPr="00627A50">
        <w:rPr>
          <w:b/>
          <w:bCs/>
        </w:rPr>
        <w:t>(4)</w:t>
      </w:r>
      <w:r>
        <w:t xml:space="preserve"> why any alternatives are not appropriate.</w:t>
      </w:r>
    </w:p>
    <w:p w14:paraId="67C5B6B1" w14:textId="60BCF07A" w:rsidR="008321DF" w:rsidRDefault="0002189F" w:rsidP="00CA0B97">
      <w:pPr>
        <w:spacing w:line="276" w:lineRule="auto"/>
      </w:pPr>
      <w:r w:rsidRPr="00CA0B97">
        <w:t>If involuntary commitment is ordered, the board may also consider petitions to administer psychotropic medications, ECT, and other medical treatment, at the same hearing. The board can also consider a petition for the involuntary treatment of any co-occurring substance use disorders and order commitment to an appropriate treatment facility.</w:t>
      </w:r>
    </w:p>
    <w:p w14:paraId="4B625562" w14:textId="16725B02" w:rsidR="00DB5D1D" w:rsidRDefault="00DB5D1D" w:rsidP="00CA0B97">
      <w:pPr>
        <w:spacing w:line="276" w:lineRule="auto"/>
      </w:pPr>
    </w:p>
    <w:p w14:paraId="094C0E0A" w14:textId="45C35DF0" w:rsidR="00DB5D1D" w:rsidRDefault="00DB5D1D" w:rsidP="00CA0B97">
      <w:pPr>
        <w:spacing w:line="276" w:lineRule="auto"/>
      </w:pPr>
    </w:p>
    <w:p w14:paraId="72F7A4E3" w14:textId="217D9D77" w:rsidR="00DB5D1D" w:rsidRDefault="00DB5D1D" w:rsidP="00CA0B97">
      <w:pPr>
        <w:spacing w:line="276" w:lineRule="auto"/>
      </w:pPr>
    </w:p>
    <w:p w14:paraId="373245F5" w14:textId="77777777" w:rsidR="00DB5D1D" w:rsidRPr="00DB5D1D" w:rsidRDefault="00DB5D1D" w:rsidP="00CA0B97">
      <w:pPr>
        <w:spacing w:line="276" w:lineRule="auto"/>
      </w:pPr>
    </w:p>
    <w:p w14:paraId="140689FE" w14:textId="77777777" w:rsidR="0002189F" w:rsidRPr="0002189F" w:rsidRDefault="0002189F" w:rsidP="00CA0B97">
      <w:pPr>
        <w:spacing w:line="276" w:lineRule="auto"/>
        <w:rPr>
          <w:i/>
          <w:iCs/>
          <w:sz w:val="20"/>
          <w:szCs w:val="20"/>
        </w:rPr>
      </w:pPr>
      <w:r w:rsidRPr="0002189F">
        <w:rPr>
          <w:i/>
          <w:iCs/>
          <w:sz w:val="20"/>
          <w:szCs w:val="20"/>
        </w:rPr>
        <w:t xml:space="preserve">Funded in part by the U.S. Department of Health and Human Services, Substance Abuse and Mental Health Services Administration, Center for Mental Health Services. </w:t>
      </w:r>
    </w:p>
    <w:p w14:paraId="4BB89E0E" w14:textId="77777777" w:rsidR="0002189F" w:rsidRPr="0002189F" w:rsidRDefault="0002189F" w:rsidP="00CA0B97">
      <w:pPr>
        <w:spacing w:line="276" w:lineRule="auto"/>
        <w:rPr>
          <w:i/>
          <w:iCs/>
          <w:sz w:val="20"/>
          <w:szCs w:val="20"/>
        </w:rPr>
      </w:pPr>
      <w:r w:rsidRPr="0002189F">
        <w:rPr>
          <w:i/>
          <w:iCs/>
          <w:sz w:val="20"/>
          <w:szCs w:val="20"/>
        </w:rPr>
        <w:t>Statutory References: South Dakota Codified Laws 27A-1-2; 27A-11A-1 through 27A-11A-28.</w:t>
      </w:r>
    </w:p>
    <w:p w14:paraId="7CD64E4F" w14:textId="1F300C05" w:rsidR="0002189F" w:rsidRPr="0002189F" w:rsidRDefault="0002189F" w:rsidP="00CA0B97">
      <w:pPr>
        <w:spacing w:line="276" w:lineRule="auto"/>
        <w:rPr>
          <w:i/>
          <w:iCs/>
          <w:sz w:val="20"/>
          <w:szCs w:val="20"/>
        </w:rPr>
      </w:pPr>
      <w:r w:rsidRPr="0002189F">
        <w:rPr>
          <w:i/>
          <w:iCs/>
          <w:sz w:val="20"/>
          <w:szCs w:val="20"/>
        </w:rPr>
        <w:t>Last Updated 3/25/2021</w:t>
      </w:r>
    </w:p>
    <w:sectPr w:rsidR="0002189F" w:rsidRPr="00021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243B"/>
    <w:multiLevelType w:val="hybridMultilevel"/>
    <w:tmpl w:val="6E66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A6BC6"/>
    <w:multiLevelType w:val="hybridMultilevel"/>
    <w:tmpl w:val="B4F8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64A4"/>
    <w:multiLevelType w:val="hybridMultilevel"/>
    <w:tmpl w:val="8CB4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12548"/>
    <w:multiLevelType w:val="hybridMultilevel"/>
    <w:tmpl w:val="01DE1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CE688C"/>
    <w:multiLevelType w:val="hybridMultilevel"/>
    <w:tmpl w:val="306E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A1665"/>
    <w:multiLevelType w:val="hybridMultilevel"/>
    <w:tmpl w:val="BC58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D4BE2"/>
    <w:multiLevelType w:val="hybridMultilevel"/>
    <w:tmpl w:val="D6B0C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13E10"/>
    <w:multiLevelType w:val="hybridMultilevel"/>
    <w:tmpl w:val="178E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40C0C"/>
    <w:multiLevelType w:val="hybridMultilevel"/>
    <w:tmpl w:val="007A9A52"/>
    <w:lvl w:ilvl="0" w:tplc="26169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2C2775"/>
    <w:multiLevelType w:val="hybridMultilevel"/>
    <w:tmpl w:val="D0C6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05BE1"/>
    <w:multiLevelType w:val="hybridMultilevel"/>
    <w:tmpl w:val="3F60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0"/>
  </w:num>
  <w:num w:numId="6">
    <w:abstractNumId w:val="4"/>
  </w:num>
  <w:num w:numId="7">
    <w:abstractNumId w:val="9"/>
  </w:num>
  <w:num w:numId="8">
    <w:abstractNumId w:val="2"/>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FE"/>
    <w:rsid w:val="0002189F"/>
    <w:rsid w:val="00046051"/>
    <w:rsid w:val="00054CDC"/>
    <w:rsid w:val="00065CA8"/>
    <w:rsid w:val="00091AAB"/>
    <w:rsid w:val="000A79A3"/>
    <w:rsid w:val="00100D48"/>
    <w:rsid w:val="001241B9"/>
    <w:rsid w:val="00146C53"/>
    <w:rsid w:val="00196FBC"/>
    <w:rsid w:val="001B520A"/>
    <w:rsid w:val="001E6744"/>
    <w:rsid w:val="00202461"/>
    <w:rsid w:val="00214088"/>
    <w:rsid w:val="00277D0C"/>
    <w:rsid w:val="002C789E"/>
    <w:rsid w:val="00310C28"/>
    <w:rsid w:val="003465FE"/>
    <w:rsid w:val="00387C27"/>
    <w:rsid w:val="00393956"/>
    <w:rsid w:val="003C43F5"/>
    <w:rsid w:val="00424F86"/>
    <w:rsid w:val="0049079E"/>
    <w:rsid w:val="004B00F0"/>
    <w:rsid w:val="005156AB"/>
    <w:rsid w:val="0052300A"/>
    <w:rsid w:val="00550052"/>
    <w:rsid w:val="00556778"/>
    <w:rsid w:val="00582CCF"/>
    <w:rsid w:val="0058626A"/>
    <w:rsid w:val="00592ED1"/>
    <w:rsid w:val="005E7BB8"/>
    <w:rsid w:val="00617FB3"/>
    <w:rsid w:val="00627A50"/>
    <w:rsid w:val="00693AE0"/>
    <w:rsid w:val="006B0CC6"/>
    <w:rsid w:val="006C6518"/>
    <w:rsid w:val="006D678B"/>
    <w:rsid w:val="006F0D83"/>
    <w:rsid w:val="00706D93"/>
    <w:rsid w:val="00753C47"/>
    <w:rsid w:val="007774EF"/>
    <w:rsid w:val="007A7DB4"/>
    <w:rsid w:val="007C2237"/>
    <w:rsid w:val="007C59E5"/>
    <w:rsid w:val="007D7209"/>
    <w:rsid w:val="007E13D9"/>
    <w:rsid w:val="007E1E75"/>
    <w:rsid w:val="0080500F"/>
    <w:rsid w:val="00821B5B"/>
    <w:rsid w:val="008220DF"/>
    <w:rsid w:val="008321DF"/>
    <w:rsid w:val="00882D91"/>
    <w:rsid w:val="008A2299"/>
    <w:rsid w:val="008B6ADB"/>
    <w:rsid w:val="008F613C"/>
    <w:rsid w:val="00914651"/>
    <w:rsid w:val="0096286B"/>
    <w:rsid w:val="00A450DE"/>
    <w:rsid w:val="00A608CB"/>
    <w:rsid w:val="00A762F7"/>
    <w:rsid w:val="00A873E9"/>
    <w:rsid w:val="00AC7FDE"/>
    <w:rsid w:val="00AE22C7"/>
    <w:rsid w:val="00B22633"/>
    <w:rsid w:val="00B3255C"/>
    <w:rsid w:val="00B6471B"/>
    <w:rsid w:val="00BC36EF"/>
    <w:rsid w:val="00BE6E96"/>
    <w:rsid w:val="00C11C00"/>
    <w:rsid w:val="00C22FA8"/>
    <w:rsid w:val="00C42AD1"/>
    <w:rsid w:val="00CA0B97"/>
    <w:rsid w:val="00CB6552"/>
    <w:rsid w:val="00CD47AA"/>
    <w:rsid w:val="00CE0C21"/>
    <w:rsid w:val="00CE48FD"/>
    <w:rsid w:val="00D14807"/>
    <w:rsid w:val="00D36E39"/>
    <w:rsid w:val="00DB5D1D"/>
    <w:rsid w:val="00E07546"/>
    <w:rsid w:val="00ED766F"/>
    <w:rsid w:val="00F061CE"/>
    <w:rsid w:val="00F1318B"/>
    <w:rsid w:val="00FC2FD5"/>
    <w:rsid w:val="00FE158C"/>
    <w:rsid w:val="00FE68D6"/>
    <w:rsid w:val="00FE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42B3"/>
  <w15:chartTrackingRefBased/>
  <w15:docId w15:val="{F3DDBF7A-B880-46F8-A683-EA3C5934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C21"/>
    <w:pPr>
      <w:spacing w:before="120" w:line="240" w:lineRule="auto"/>
    </w:pPr>
    <w:rPr>
      <w:rFonts w:ascii="Georgia" w:hAnsi="Georgia"/>
      <w:sz w:val="24"/>
    </w:rPr>
  </w:style>
  <w:style w:type="paragraph" w:styleId="Heading1">
    <w:name w:val="heading 1"/>
    <w:basedOn w:val="Normal"/>
    <w:next w:val="Normal"/>
    <w:link w:val="Heading1Char"/>
    <w:uiPriority w:val="9"/>
    <w:qFormat/>
    <w:rsid w:val="00F1318B"/>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F1318B"/>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F1318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318B"/>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8B"/>
    <w:rPr>
      <w:rFonts w:ascii="Georgia" w:eastAsiaTheme="majorEastAsia" w:hAnsi="Georgia" w:cstheme="majorBidi"/>
      <w:sz w:val="36"/>
      <w:szCs w:val="32"/>
    </w:rPr>
  </w:style>
  <w:style w:type="character" w:customStyle="1" w:styleId="Heading2Char">
    <w:name w:val="Heading 2 Char"/>
    <w:basedOn w:val="DefaultParagraphFont"/>
    <w:link w:val="Heading2"/>
    <w:uiPriority w:val="9"/>
    <w:rsid w:val="00F1318B"/>
    <w:rPr>
      <w:rFonts w:ascii="Georgia" w:eastAsiaTheme="majorEastAsia" w:hAnsi="Georgia" w:cstheme="majorBidi"/>
      <w:sz w:val="28"/>
      <w:szCs w:val="26"/>
    </w:rPr>
  </w:style>
  <w:style w:type="character" w:customStyle="1" w:styleId="Heading3Char">
    <w:name w:val="Heading 3 Char"/>
    <w:basedOn w:val="DefaultParagraphFont"/>
    <w:link w:val="Heading3"/>
    <w:uiPriority w:val="9"/>
    <w:rsid w:val="00F1318B"/>
    <w:rPr>
      <w:rFonts w:ascii="Georgia" w:eastAsiaTheme="majorEastAsia" w:hAnsi="Georgia" w:cstheme="majorBidi"/>
      <w:b/>
      <w:sz w:val="28"/>
      <w:szCs w:val="24"/>
    </w:rPr>
  </w:style>
  <w:style w:type="character" w:styleId="Hyperlink">
    <w:name w:val="Hyperlink"/>
    <w:basedOn w:val="DefaultParagraphFont"/>
    <w:uiPriority w:val="99"/>
    <w:unhideWhenUsed/>
    <w:rsid w:val="00100D48"/>
    <w:rPr>
      <w:color w:val="0563C1" w:themeColor="hyperlink"/>
      <w:u w:val="single"/>
    </w:rPr>
  </w:style>
  <w:style w:type="character" w:styleId="UnresolvedMention">
    <w:name w:val="Unresolved Mention"/>
    <w:basedOn w:val="DefaultParagraphFont"/>
    <w:uiPriority w:val="99"/>
    <w:semiHidden/>
    <w:unhideWhenUsed/>
    <w:rsid w:val="00100D48"/>
    <w:rPr>
      <w:color w:val="605E5C"/>
      <w:shd w:val="clear" w:color="auto" w:fill="E1DFDD"/>
    </w:rPr>
  </w:style>
  <w:style w:type="character" w:customStyle="1" w:styleId="Heading4Char">
    <w:name w:val="Heading 4 Char"/>
    <w:basedOn w:val="DefaultParagraphFont"/>
    <w:link w:val="Heading4"/>
    <w:uiPriority w:val="9"/>
    <w:rsid w:val="00F1318B"/>
    <w:rPr>
      <w:rFonts w:ascii="Georgia" w:eastAsiaTheme="majorEastAsia" w:hAnsi="Georgia" w:cstheme="majorBidi"/>
      <w:b/>
      <w:iCs/>
      <w:sz w:val="24"/>
    </w:rPr>
  </w:style>
  <w:style w:type="paragraph" w:styleId="ListParagraph">
    <w:name w:val="List Paragraph"/>
    <w:basedOn w:val="Normal"/>
    <w:uiPriority w:val="34"/>
    <w:qFormat/>
    <w:rsid w:val="00882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sdlaw.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Glissendorf</dc:creator>
  <cp:keywords/>
  <dc:description/>
  <cp:lastModifiedBy>Hanna Glissendorf</cp:lastModifiedBy>
  <cp:revision>35</cp:revision>
  <dcterms:created xsi:type="dcterms:W3CDTF">2021-08-30T22:49:00Z</dcterms:created>
  <dcterms:modified xsi:type="dcterms:W3CDTF">2021-08-31T21:48:00Z</dcterms:modified>
</cp:coreProperties>
</file>